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5E" w:rsidRDefault="00544B5E" w:rsidP="00544B5E">
      <w:pPr>
        <w:pStyle w:val="NormalWeb"/>
        <w:spacing w:line="336" w:lineRule="atLeast"/>
        <w:rPr>
          <w:spacing w:val="3"/>
          <w:sz w:val="18"/>
          <w:szCs w:val="18"/>
        </w:rPr>
      </w:pPr>
      <w:r>
        <w:rPr>
          <w:rStyle w:val="addtitle2"/>
          <w:spacing w:val="3"/>
          <w:sz w:val="29"/>
          <w:szCs w:val="29"/>
        </w:rPr>
        <w:t>Elimination of Error Correction Window for Due Dates On or After January 25, 2011 (NIH Proposals)</w:t>
      </w:r>
    </w:p>
    <w:p w:rsidR="00544B5E" w:rsidRPr="00370273" w:rsidRDefault="00544B5E" w:rsidP="00865A08">
      <w:pPr>
        <w:pStyle w:val="NormalWeb"/>
        <w:rPr>
          <w:spacing w:val="3"/>
          <w:sz w:val="20"/>
          <w:szCs w:val="20"/>
        </w:rPr>
      </w:pPr>
      <w:r w:rsidRPr="00370273">
        <w:rPr>
          <w:spacing w:val="3"/>
          <w:sz w:val="20"/>
          <w:szCs w:val="20"/>
        </w:rPr>
        <w:t>Beginning with due dates on or after January 25, 2011, NIH, AHRQ and NIOSH will eliminate the error correction window from the application submission process. The two day window allowed applicants an opportunity after the deadline to correct missing or incorrect aspects of their applications, identified by NIH system-generated errors and warnings displayed to the applicant after submission.</w:t>
      </w:r>
      <w:r w:rsidRPr="00370273">
        <w:rPr>
          <w:spacing w:val="3"/>
          <w:sz w:val="20"/>
          <w:szCs w:val="20"/>
        </w:rPr>
        <w:br/>
      </w:r>
      <w:r w:rsidRPr="00370273">
        <w:rPr>
          <w:spacing w:val="3"/>
          <w:sz w:val="20"/>
          <w:szCs w:val="20"/>
        </w:rPr>
        <w:br/>
      </w:r>
      <w:r w:rsidRPr="00370273">
        <w:rPr>
          <w:b/>
          <w:spacing w:val="3"/>
          <w:sz w:val="20"/>
          <w:szCs w:val="20"/>
        </w:rPr>
        <w:t>Beginning on January 25, 2011, all applications submitted after 5 p.m. local time of the applicant organization on the due date will be subject to the NIH late policy and may not be accepted for review.</w:t>
      </w:r>
      <w:r w:rsidRPr="00370273">
        <w:rPr>
          <w:spacing w:val="3"/>
          <w:sz w:val="20"/>
          <w:szCs w:val="20"/>
        </w:rPr>
        <w:t xml:space="preserve"> </w:t>
      </w:r>
    </w:p>
    <w:p w:rsidR="00544B5E" w:rsidRPr="00370273" w:rsidRDefault="00544B5E" w:rsidP="00865A08">
      <w:pPr>
        <w:pStyle w:val="NormalWeb"/>
        <w:rPr>
          <w:spacing w:val="3"/>
          <w:sz w:val="20"/>
          <w:szCs w:val="20"/>
        </w:rPr>
      </w:pPr>
      <w:r w:rsidRPr="00370273">
        <w:rPr>
          <w:spacing w:val="3"/>
          <w:sz w:val="20"/>
          <w:szCs w:val="20"/>
        </w:rPr>
        <w:t>The only post-submission grant application materials that the NIH will accept are those resulting from unforeseen administrative issues.  Post-submission grant application materials are those submitted after submission of the grant application, but prior to the initial peer review.  This option is to be used when an unexpected event such as the departure of a participant, natural disaster, etc. has occurred, not to correct oversights/errors discovered after submission of the application.</w:t>
      </w:r>
    </w:p>
    <w:p w:rsidR="00544B5E" w:rsidRPr="00370273" w:rsidRDefault="00544B5E" w:rsidP="00865A08">
      <w:pPr>
        <w:pStyle w:val="NormalWeb"/>
        <w:rPr>
          <w:spacing w:val="3"/>
          <w:sz w:val="20"/>
          <w:szCs w:val="20"/>
        </w:rPr>
      </w:pPr>
      <w:r w:rsidRPr="00370273">
        <w:rPr>
          <w:b/>
          <w:bCs/>
          <w:spacing w:val="3"/>
          <w:sz w:val="20"/>
          <w:szCs w:val="20"/>
        </w:rPr>
        <w:t>Acceptable post-submission materials include:</w:t>
      </w:r>
    </w:p>
    <w:p w:rsidR="00544B5E" w:rsidRPr="00370273" w:rsidRDefault="00544B5E" w:rsidP="00865A08">
      <w:pPr>
        <w:pStyle w:val="NormalWeb"/>
        <w:numPr>
          <w:ilvl w:val="0"/>
          <w:numId w:val="1"/>
        </w:numPr>
        <w:rPr>
          <w:spacing w:val="3"/>
          <w:sz w:val="20"/>
          <w:szCs w:val="20"/>
        </w:rPr>
      </w:pPr>
      <w:r w:rsidRPr="00370273">
        <w:rPr>
          <w:spacing w:val="3"/>
          <w:sz w:val="20"/>
          <w:szCs w:val="20"/>
        </w:rPr>
        <w:t xml:space="preserve">Revised budget page(s) (e.g., change in budget request due to new funding or institutional acquisition of equipment) </w:t>
      </w:r>
    </w:p>
    <w:p w:rsidR="00544B5E" w:rsidRPr="00370273" w:rsidRDefault="00544B5E" w:rsidP="00865A08">
      <w:pPr>
        <w:pStyle w:val="NormalWeb"/>
        <w:numPr>
          <w:ilvl w:val="0"/>
          <w:numId w:val="1"/>
        </w:numPr>
        <w:rPr>
          <w:spacing w:val="3"/>
          <w:sz w:val="20"/>
          <w:szCs w:val="20"/>
        </w:rPr>
      </w:pPr>
      <w:r w:rsidRPr="00370273">
        <w:rPr>
          <w:spacing w:val="3"/>
          <w:sz w:val="20"/>
          <w:szCs w:val="20"/>
        </w:rPr>
        <w:t xml:space="preserve">Biographical sketches (e.g., change in senior/key personnel due to the hiring, replacement, or loss of an investigator) </w:t>
      </w:r>
    </w:p>
    <w:p w:rsidR="00544B5E" w:rsidRPr="00370273" w:rsidRDefault="00544B5E" w:rsidP="00865A08">
      <w:pPr>
        <w:pStyle w:val="NormalWeb"/>
        <w:numPr>
          <w:ilvl w:val="0"/>
          <w:numId w:val="1"/>
        </w:numPr>
        <w:rPr>
          <w:spacing w:val="3"/>
          <w:sz w:val="20"/>
          <w:szCs w:val="20"/>
        </w:rPr>
      </w:pPr>
      <w:r w:rsidRPr="00370273">
        <w:rPr>
          <w:spacing w:val="3"/>
          <w:sz w:val="20"/>
          <w:szCs w:val="20"/>
        </w:rPr>
        <w:t xml:space="preserve">Letters of support or collaboration resulting from a change in senior/key personnel due to the hiring, replacement, or loss of an investigator </w:t>
      </w:r>
    </w:p>
    <w:p w:rsidR="00544B5E" w:rsidRPr="00370273" w:rsidRDefault="00544B5E" w:rsidP="00865A08">
      <w:pPr>
        <w:pStyle w:val="NormalWeb"/>
        <w:numPr>
          <w:ilvl w:val="0"/>
          <w:numId w:val="1"/>
        </w:numPr>
        <w:rPr>
          <w:spacing w:val="3"/>
          <w:sz w:val="20"/>
          <w:szCs w:val="20"/>
        </w:rPr>
      </w:pPr>
      <w:r w:rsidRPr="00370273">
        <w:rPr>
          <w:spacing w:val="3"/>
          <w:sz w:val="20"/>
          <w:szCs w:val="20"/>
        </w:rPr>
        <w:t xml:space="preserve">Adjustments resulting from natural disasters (e.g., loss of an animal colony) </w:t>
      </w:r>
    </w:p>
    <w:p w:rsidR="00544B5E" w:rsidRPr="00370273" w:rsidRDefault="00544B5E" w:rsidP="00865A08">
      <w:pPr>
        <w:pStyle w:val="NormalWeb"/>
        <w:numPr>
          <w:ilvl w:val="0"/>
          <w:numId w:val="1"/>
        </w:numPr>
        <w:rPr>
          <w:spacing w:val="3"/>
          <w:sz w:val="20"/>
          <w:szCs w:val="20"/>
        </w:rPr>
      </w:pPr>
      <w:r w:rsidRPr="00370273">
        <w:rPr>
          <w:spacing w:val="3"/>
          <w:sz w:val="20"/>
          <w:szCs w:val="20"/>
        </w:rPr>
        <w:t xml:space="preserve">Adjustments resulting from change of institution (e.g., PI moves to another university) </w:t>
      </w:r>
    </w:p>
    <w:p w:rsidR="00544B5E" w:rsidRPr="00370273" w:rsidRDefault="00544B5E" w:rsidP="00865A08">
      <w:pPr>
        <w:pStyle w:val="NormalWeb"/>
        <w:numPr>
          <w:ilvl w:val="0"/>
          <w:numId w:val="1"/>
        </w:numPr>
        <w:rPr>
          <w:spacing w:val="3"/>
          <w:sz w:val="20"/>
          <w:szCs w:val="20"/>
        </w:rPr>
      </w:pPr>
      <w:r w:rsidRPr="00370273">
        <w:rPr>
          <w:spacing w:val="3"/>
          <w:sz w:val="20"/>
          <w:szCs w:val="20"/>
        </w:rPr>
        <w:t xml:space="preserve">News of an article accepted for publication (a copy of the article should </w:t>
      </w:r>
      <w:r w:rsidRPr="00370273">
        <w:rPr>
          <w:b/>
          <w:bCs/>
          <w:spacing w:val="3"/>
          <w:sz w:val="20"/>
          <w:szCs w:val="20"/>
        </w:rPr>
        <w:t>not</w:t>
      </w:r>
      <w:r w:rsidRPr="00370273">
        <w:rPr>
          <w:spacing w:val="3"/>
          <w:sz w:val="20"/>
          <w:szCs w:val="20"/>
        </w:rPr>
        <w:t xml:space="preserve"> be sent) </w:t>
      </w:r>
    </w:p>
    <w:p w:rsidR="00544B5E" w:rsidRPr="00370273" w:rsidRDefault="00544B5E" w:rsidP="00865A08">
      <w:pPr>
        <w:pStyle w:val="NormalWeb"/>
        <w:rPr>
          <w:spacing w:val="3"/>
          <w:sz w:val="20"/>
          <w:szCs w:val="20"/>
        </w:rPr>
      </w:pPr>
      <w:r w:rsidRPr="00370273">
        <w:rPr>
          <w:b/>
          <w:bCs/>
          <w:spacing w:val="3"/>
          <w:sz w:val="20"/>
          <w:szCs w:val="20"/>
        </w:rPr>
        <w:t>Unacceptable post-submission materials (for all applications except those listed under Exceptions below) include:</w:t>
      </w:r>
      <w:r w:rsidRPr="00370273">
        <w:rPr>
          <w:spacing w:val="3"/>
          <w:sz w:val="20"/>
          <w:szCs w:val="20"/>
        </w:rPr>
        <w:t xml:space="preserve"> </w:t>
      </w:r>
    </w:p>
    <w:p w:rsidR="00544B5E" w:rsidRPr="00370273" w:rsidRDefault="00544B5E" w:rsidP="00865A08">
      <w:pPr>
        <w:pStyle w:val="NormalWeb"/>
        <w:numPr>
          <w:ilvl w:val="0"/>
          <w:numId w:val="2"/>
        </w:numPr>
        <w:rPr>
          <w:spacing w:val="3"/>
          <w:sz w:val="20"/>
          <w:szCs w:val="20"/>
        </w:rPr>
      </w:pPr>
      <w:r w:rsidRPr="00370273">
        <w:rPr>
          <w:spacing w:val="3"/>
          <w:sz w:val="20"/>
          <w:szCs w:val="20"/>
        </w:rPr>
        <w:t xml:space="preserve">Updated Specific Aims or Research Strategy pages </w:t>
      </w:r>
    </w:p>
    <w:p w:rsidR="00544B5E" w:rsidRPr="00370273" w:rsidRDefault="00544B5E" w:rsidP="00865A08">
      <w:pPr>
        <w:pStyle w:val="NormalWeb"/>
        <w:numPr>
          <w:ilvl w:val="0"/>
          <w:numId w:val="2"/>
        </w:numPr>
        <w:rPr>
          <w:spacing w:val="3"/>
          <w:sz w:val="20"/>
          <w:szCs w:val="20"/>
        </w:rPr>
      </w:pPr>
      <w:r w:rsidRPr="00370273">
        <w:rPr>
          <w:spacing w:val="3"/>
          <w:sz w:val="20"/>
          <w:szCs w:val="20"/>
        </w:rPr>
        <w:t xml:space="preserve">Late-breaking research findings </w:t>
      </w:r>
    </w:p>
    <w:p w:rsidR="00544B5E" w:rsidRPr="00370273" w:rsidRDefault="00544B5E" w:rsidP="00865A08">
      <w:pPr>
        <w:pStyle w:val="NormalWeb"/>
        <w:numPr>
          <w:ilvl w:val="0"/>
          <w:numId w:val="2"/>
        </w:numPr>
        <w:rPr>
          <w:spacing w:val="3"/>
          <w:sz w:val="20"/>
          <w:szCs w:val="20"/>
        </w:rPr>
      </w:pPr>
      <w:r w:rsidRPr="00370273">
        <w:rPr>
          <w:spacing w:val="3"/>
          <w:sz w:val="20"/>
          <w:szCs w:val="20"/>
        </w:rPr>
        <w:t xml:space="preserve">New letters of support or collaboration that do not result from a change in senior/key personnel due to the hiring, replacement, or loss of an investigator </w:t>
      </w:r>
    </w:p>
    <w:p w:rsidR="00370273" w:rsidRPr="00370273" w:rsidRDefault="00544B5E" w:rsidP="00865A08">
      <w:pPr>
        <w:pStyle w:val="NormalWeb"/>
        <w:rPr>
          <w:spacing w:val="3"/>
          <w:sz w:val="20"/>
          <w:szCs w:val="20"/>
        </w:rPr>
      </w:pPr>
      <w:r w:rsidRPr="00370273">
        <w:rPr>
          <w:spacing w:val="3"/>
          <w:sz w:val="20"/>
          <w:szCs w:val="20"/>
        </w:rPr>
        <w:t>The NIH will continue to make accommodations for Federal system issues that threaten or prevent on-time submission of an individual application, if appropriately documented and verified by NIH support staff. Moreover, NIH still will determine and implement contingency plans on an as-needed basis for widespread system issues and natural disasters.</w:t>
      </w:r>
      <w:r w:rsidRPr="00370273">
        <w:rPr>
          <w:spacing w:val="3"/>
          <w:sz w:val="20"/>
          <w:szCs w:val="20"/>
        </w:rPr>
        <w:br/>
      </w:r>
    </w:p>
    <w:p w:rsidR="00544B5E" w:rsidRDefault="00544B5E" w:rsidP="00865A08">
      <w:pPr>
        <w:pStyle w:val="NormalWeb"/>
        <w:rPr>
          <w:spacing w:val="3"/>
          <w:sz w:val="18"/>
          <w:szCs w:val="18"/>
        </w:rPr>
      </w:pPr>
      <w:r w:rsidRPr="00370273">
        <w:rPr>
          <w:spacing w:val="3"/>
          <w:sz w:val="20"/>
          <w:szCs w:val="20"/>
        </w:rPr>
        <w:t xml:space="preserve">The elimination of the error correction window does not affect the two-business-day application viewing window (i.e. the time an applicant has to view the electronic application image in </w:t>
      </w:r>
      <w:proofErr w:type="spellStart"/>
      <w:r w:rsidRPr="00370273">
        <w:rPr>
          <w:spacing w:val="3"/>
          <w:sz w:val="20"/>
          <w:szCs w:val="20"/>
        </w:rPr>
        <w:t>eRA</w:t>
      </w:r>
      <w:proofErr w:type="spellEnd"/>
      <w:r w:rsidRPr="00370273">
        <w:rPr>
          <w:spacing w:val="3"/>
          <w:sz w:val="20"/>
          <w:szCs w:val="20"/>
        </w:rPr>
        <w:t xml:space="preserve"> Commons upon NIH’s receipt of an error-free application). </w:t>
      </w:r>
      <w:r w:rsidRPr="00370273">
        <w:rPr>
          <w:b/>
          <w:spacing w:val="3"/>
          <w:sz w:val="20"/>
          <w:szCs w:val="20"/>
          <w:u w:val="single"/>
        </w:rPr>
        <w:t xml:space="preserve">Applicants still will be able to view their application and reject and submit a corrected application prior to the submission deadline. NIH, AHRQ and NIOSH encourage applicants to submit in advance of the due date to take advantage of the opportunity to correct errors and warnings and to review the application in the </w:t>
      </w:r>
      <w:proofErr w:type="spellStart"/>
      <w:r w:rsidRPr="00370273">
        <w:rPr>
          <w:b/>
          <w:spacing w:val="3"/>
          <w:sz w:val="20"/>
          <w:szCs w:val="20"/>
          <w:u w:val="single"/>
        </w:rPr>
        <w:t>eRA</w:t>
      </w:r>
      <w:proofErr w:type="spellEnd"/>
      <w:r w:rsidRPr="00370273">
        <w:rPr>
          <w:b/>
          <w:spacing w:val="3"/>
          <w:sz w:val="20"/>
          <w:szCs w:val="20"/>
          <w:u w:val="single"/>
        </w:rPr>
        <w:t xml:space="preserve"> Commons before the deadline. </w:t>
      </w:r>
      <w:r w:rsidRPr="00370273">
        <w:rPr>
          <w:b/>
          <w:spacing w:val="3"/>
          <w:sz w:val="20"/>
          <w:szCs w:val="20"/>
          <w:u w:val="single"/>
        </w:rPr>
        <w:br/>
      </w:r>
      <w:r>
        <w:rPr>
          <w:spacing w:val="3"/>
          <w:sz w:val="18"/>
          <w:szCs w:val="18"/>
        </w:rPr>
        <w:br/>
      </w:r>
    </w:p>
    <w:sectPr w:rsidR="00544B5E" w:rsidSect="006420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B79FD"/>
    <w:multiLevelType w:val="multilevel"/>
    <w:tmpl w:val="7BA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365ADD"/>
    <w:multiLevelType w:val="multilevel"/>
    <w:tmpl w:val="163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B5E"/>
    <w:rsid w:val="00156F0F"/>
    <w:rsid w:val="002B407E"/>
    <w:rsid w:val="00335397"/>
    <w:rsid w:val="00370273"/>
    <w:rsid w:val="003D00A6"/>
    <w:rsid w:val="004D2944"/>
    <w:rsid w:val="00544B5E"/>
    <w:rsid w:val="0060490E"/>
    <w:rsid w:val="0064202C"/>
    <w:rsid w:val="006E0949"/>
    <w:rsid w:val="00865A08"/>
    <w:rsid w:val="008F1D01"/>
    <w:rsid w:val="0091370B"/>
    <w:rsid w:val="00965786"/>
    <w:rsid w:val="00AF56C6"/>
    <w:rsid w:val="00B36A9F"/>
    <w:rsid w:val="00B41B63"/>
    <w:rsid w:val="00C94CF2"/>
    <w:rsid w:val="00D1628A"/>
    <w:rsid w:val="00EE7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2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B5E"/>
    <w:pPr>
      <w:spacing w:before="100" w:beforeAutospacing="1" w:after="100" w:afterAutospacing="1" w:line="240" w:lineRule="auto"/>
    </w:pPr>
    <w:rPr>
      <w:rFonts w:ascii="Arial" w:eastAsia="Times New Roman" w:hAnsi="Arial" w:cs="Arial"/>
      <w:color w:val="000000"/>
      <w:sz w:val="24"/>
      <w:szCs w:val="24"/>
    </w:rPr>
  </w:style>
  <w:style w:type="character" w:styleId="Hyperlink">
    <w:name w:val="Hyperlink"/>
    <w:basedOn w:val="DefaultParagraphFont"/>
    <w:uiPriority w:val="99"/>
    <w:semiHidden/>
    <w:unhideWhenUsed/>
    <w:rsid w:val="00544B5E"/>
    <w:rPr>
      <w:color w:val="0000FF"/>
      <w:u w:val="single"/>
    </w:rPr>
  </w:style>
  <w:style w:type="character" w:customStyle="1" w:styleId="addtitle2">
    <w:name w:val="addtitle2"/>
    <w:basedOn w:val="DefaultParagraphFont"/>
    <w:rsid w:val="00544B5E"/>
    <w:rPr>
      <w:b/>
      <w:bCs/>
      <w:color w:val="993366"/>
      <w:sz w:val="38"/>
      <w:szCs w:val="38"/>
    </w:rPr>
  </w:style>
</w:styles>
</file>

<file path=word/webSettings.xml><?xml version="1.0" encoding="utf-8"?>
<w:webSettings xmlns:r="http://schemas.openxmlformats.org/officeDocument/2006/relationships" xmlns:w="http://schemas.openxmlformats.org/wordprocessingml/2006/main">
  <w:divs>
    <w:div w:id="191892310">
      <w:bodyDiv w:val="1"/>
      <w:marLeft w:val="750"/>
      <w:marRight w:val="750"/>
      <w:marTop w:val="0"/>
      <w:marBottom w:val="0"/>
      <w:divBdr>
        <w:top w:val="none" w:sz="0" w:space="0" w:color="auto"/>
        <w:left w:val="none" w:sz="0" w:space="0" w:color="auto"/>
        <w:bottom w:val="none" w:sz="0" w:space="0" w:color="auto"/>
        <w:right w:val="none" w:sz="0" w:space="0" w:color="auto"/>
      </w:divBdr>
    </w:div>
    <w:div w:id="232591882">
      <w:bodyDiv w:val="1"/>
      <w:marLeft w:val="750"/>
      <w:marRight w:val="750"/>
      <w:marTop w:val="0"/>
      <w:marBottom w:val="0"/>
      <w:divBdr>
        <w:top w:val="none" w:sz="0" w:space="0" w:color="auto"/>
        <w:left w:val="none" w:sz="0" w:space="0" w:color="auto"/>
        <w:bottom w:val="none" w:sz="0" w:space="0" w:color="auto"/>
        <w:right w:val="none" w:sz="0" w:space="0" w:color="auto"/>
      </w:divBdr>
    </w:div>
    <w:div w:id="1103964378">
      <w:bodyDiv w:val="1"/>
      <w:marLeft w:val="750"/>
      <w:marRight w:val="750"/>
      <w:marTop w:val="0"/>
      <w:marBottom w:val="0"/>
      <w:divBdr>
        <w:top w:val="none" w:sz="0" w:space="0" w:color="auto"/>
        <w:left w:val="none" w:sz="0" w:space="0" w:color="auto"/>
        <w:bottom w:val="none" w:sz="0" w:space="0" w:color="auto"/>
        <w:right w:val="none" w:sz="0" w:space="0" w:color="auto"/>
      </w:divBdr>
    </w:div>
    <w:div w:id="1169634088">
      <w:bodyDiv w:val="1"/>
      <w:marLeft w:val="750"/>
      <w:marRight w:val="750"/>
      <w:marTop w:val="0"/>
      <w:marBottom w:val="0"/>
      <w:divBdr>
        <w:top w:val="none" w:sz="0" w:space="0" w:color="auto"/>
        <w:left w:val="none" w:sz="0" w:space="0" w:color="auto"/>
        <w:bottom w:val="none" w:sz="0" w:space="0" w:color="auto"/>
        <w:right w:val="none" w:sz="0" w:space="0" w:color="auto"/>
      </w:divBdr>
    </w:div>
    <w:div w:id="1406759510">
      <w:bodyDiv w:val="1"/>
      <w:marLeft w:val="750"/>
      <w:marRight w:val="75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475</Words>
  <Characters>2709</Characters>
  <Application>Microsoft Office Word</Application>
  <DocSecurity>0</DocSecurity>
  <Lines>22</Lines>
  <Paragraphs>6</Paragraphs>
  <ScaleCrop>false</ScaleCrop>
  <Company>The University of South Carolina</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Coggins</dc:creator>
  <cp:keywords/>
  <dc:description/>
  <cp:lastModifiedBy>Tom Coggins</cp:lastModifiedBy>
  <cp:revision>4</cp:revision>
  <dcterms:created xsi:type="dcterms:W3CDTF">2010-12-01T15:11:00Z</dcterms:created>
  <dcterms:modified xsi:type="dcterms:W3CDTF">2010-12-01T20:43:00Z</dcterms:modified>
</cp:coreProperties>
</file>